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B4" w:rsidRPr="003C4AB4" w:rsidRDefault="003C4AB4" w:rsidP="003C4AB4">
      <w:pPr>
        <w:keepNext/>
        <w:spacing w:before="0" w:beforeAutospacing="0" w:after="0" w:afterAutospacing="0"/>
        <w:ind w:right="-1"/>
        <w:jc w:val="center"/>
        <w:outlineLvl w:val="0"/>
        <w:rPr>
          <w:rFonts w:ascii="Antiqua" w:eastAsia="Times New Roman" w:hAnsi="Antiqua" w:cs="Times New Roman"/>
          <w:b/>
          <w:sz w:val="20"/>
          <w:szCs w:val="20"/>
          <w:lang w:val="ru-RU" w:eastAsia="ru-RU"/>
        </w:rPr>
      </w:pPr>
      <w:r w:rsidRPr="003C4AB4">
        <w:rPr>
          <w:rFonts w:ascii="Antiqua" w:eastAsia="Times New Roman" w:hAnsi="Antiqua" w:cs="Times New Roman"/>
          <w:b/>
          <w:sz w:val="20"/>
          <w:szCs w:val="20"/>
          <w:lang w:val="ru-RU" w:eastAsia="ru-RU"/>
        </w:rPr>
        <w:t>РОСМОРРЕЧФЛОТ</w:t>
      </w:r>
    </w:p>
    <w:p w:rsidR="003C4AB4" w:rsidRPr="003C4AB4" w:rsidRDefault="003C4AB4" w:rsidP="003C4AB4">
      <w:pPr>
        <w:spacing w:before="0" w:beforeAutospacing="0" w:after="0" w:afterAutospacing="0"/>
        <w:rPr>
          <w:rFonts w:ascii="Times New Roman" w:eastAsia="Times New Roman" w:hAnsi="Times New Roman" w:cs="Times New Roman"/>
          <w:sz w:val="8"/>
          <w:szCs w:val="8"/>
          <w:lang w:val="ru-RU" w:eastAsia="ru-RU"/>
        </w:rPr>
      </w:pPr>
    </w:p>
    <w:p w:rsidR="003C4AB4" w:rsidRPr="003C4AB4" w:rsidRDefault="003C4AB4" w:rsidP="003C4AB4">
      <w:pPr>
        <w:keepNext/>
        <w:spacing w:before="0" w:beforeAutospacing="0" w:after="0" w:afterAutospacing="0"/>
        <w:ind w:right="-1"/>
        <w:jc w:val="center"/>
        <w:outlineLvl w:val="0"/>
        <w:rPr>
          <w:rFonts w:ascii="Antiqua" w:eastAsia="Times New Roman" w:hAnsi="Antiqua" w:cs="Times New Roman"/>
          <w:sz w:val="20"/>
          <w:szCs w:val="20"/>
          <w:lang w:val="ru-RU" w:eastAsia="ru-RU"/>
        </w:rPr>
      </w:pPr>
      <w:proofErr w:type="gramStart"/>
      <w:r w:rsidRPr="003C4AB4">
        <w:rPr>
          <w:rFonts w:ascii="Antiqua" w:eastAsia="Times New Roman" w:hAnsi="Antiqua" w:cs="Times New Roman"/>
          <w:sz w:val="20"/>
          <w:szCs w:val="20"/>
          <w:lang w:val="ru-RU" w:eastAsia="ru-RU"/>
        </w:rPr>
        <w:t>ФЕДЕРАЛЬНОЕ  БЮДЖЕТНОЕ</w:t>
      </w:r>
      <w:proofErr w:type="gramEnd"/>
      <w:r w:rsidRPr="003C4AB4">
        <w:rPr>
          <w:rFonts w:ascii="Antiqua" w:eastAsia="Times New Roman" w:hAnsi="Antiqua" w:cs="Times New Roman"/>
          <w:sz w:val="20"/>
          <w:szCs w:val="20"/>
          <w:lang w:val="ru-RU" w:eastAsia="ru-RU"/>
        </w:rPr>
        <w:t xml:space="preserve">  УЧРЕЖДЕНИЕ</w:t>
      </w:r>
    </w:p>
    <w:p w:rsidR="003C4AB4" w:rsidRPr="003C4AB4" w:rsidRDefault="003C4AB4" w:rsidP="003C4AB4">
      <w:pPr>
        <w:keepNext/>
        <w:spacing w:before="0" w:beforeAutospacing="0" w:after="0" w:afterAutospacing="0"/>
        <w:ind w:right="-1"/>
        <w:jc w:val="center"/>
        <w:outlineLvl w:val="0"/>
        <w:rPr>
          <w:rFonts w:ascii="Antiqua" w:eastAsia="Times New Roman" w:hAnsi="Antiqua" w:cs="Times New Roman"/>
          <w:b/>
          <w:sz w:val="8"/>
          <w:szCs w:val="8"/>
          <w:lang w:val="ru-RU" w:eastAsia="ru-RU"/>
        </w:rPr>
      </w:pPr>
    </w:p>
    <w:p w:rsidR="003C4AB4" w:rsidRPr="003C4AB4" w:rsidRDefault="003C4AB4" w:rsidP="003C4AB4">
      <w:pPr>
        <w:keepNext/>
        <w:spacing w:before="0" w:beforeAutospacing="0" w:after="0" w:afterAutospacing="0"/>
        <w:ind w:right="-1"/>
        <w:jc w:val="center"/>
        <w:outlineLvl w:val="0"/>
        <w:rPr>
          <w:rFonts w:ascii="Antiqua" w:eastAsia="Times New Roman" w:hAnsi="Antiqua" w:cs="Times New Roman"/>
          <w:b/>
          <w:sz w:val="28"/>
          <w:szCs w:val="28"/>
          <w:lang w:val="ru-RU" w:eastAsia="ru-RU"/>
        </w:rPr>
      </w:pPr>
      <w:r w:rsidRPr="003C4AB4">
        <w:rPr>
          <w:rFonts w:ascii="Antiqua" w:eastAsia="Times New Roman" w:hAnsi="Antiqua" w:cs="Times New Roman"/>
          <w:b/>
          <w:sz w:val="28"/>
          <w:szCs w:val="28"/>
          <w:lang w:val="ru-RU" w:eastAsia="ru-RU"/>
        </w:rPr>
        <w:t xml:space="preserve">«АДМИНИСТРАЦИЯ </w:t>
      </w:r>
      <w:proofErr w:type="gramStart"/>
      <w:r w:rsidRPr="003C4AB4">
        <w:rPr>
          <w:rFonts w:ascii="Antiqua" w:eastAsia="Times New Roman" w:hAnsi="Antiqua" w:cs="Times New Roman"/>
          <w:b/>
          <w:sz w:val="28"/>
          <w:szCs w:val="28"/>
          <w:lang w:val="ru-RU" w:eastAsia="ru-RU"/>
        </w:rPr>
        <w:t>КАМСКОГО  БАССЕЙНА</w:t>
      </w:r>
      <w:proofErr w:type="gramEnd"/>
    </w:p>
    <w:p w:rsidR="003C4AB4" w:rsidRPr="003C4AB4" w:rsidRDefault="003C4AB4" w:rsidP="003C4AB4">
      <w:pPr>
        <w:keepNext/>
        <w:spacing w:before="0" w:beforeAutospacing="0" w:after="0" w:afterAutospacing="0"/>
        <w:ind w:right="-1"/>
        <w:jc w:val="center"/>
        <w:outlineLvl w:val="0"/>
        <w:rPr>
          <w:rFonts w:ascii="Antiqua" w:eastAsia="Times New Roman" w:hAnsi="Antiqua" w:cs="Times New Roman"/>
          <w:b/>
          <w:sz w:val="28"/>
          <w:szCs w:val="28"/>
          <w:lang w:val="ru-RU" w:eastAsia="ru-RU"/>
        </w:rPr>
      </w:pPr>
      <w:r w:rsidRPr="003C4AB4">
        <w:rPr>
          <w:rFonts w:ascii="Antiqua" w:eastAsia="Times New Roman" w:hAnsi="Antiqua" w:cs="Times New Roman"/>
          <w:b/>
          <w:sz w:val="28"/>
          <w:szCs w:val="28"/>
          <w:lang w:val="ru-RU" w:eastAsia="ru-RU"/>
        </w:rPr>
        <w:t xml:space="preserve">ВНУТРЕННИХ </w:t>
      </w:r>
      <w:proofErr w:type="gramStart"/>
      <w:r w:rsidRPr="003C4AB4">
        <w:rPr>
          <w:rFonts w:ascii="Antiqua" w:eastAsia="Times New Roman" w:hAnsi="Antiqua" w:cs="Times New Roman"/>
          <w:b/>
          <w:sz w:val="28"/>
          <w:szCs w:val="28"/>
          <w:lang w:val="ru-RU" w:eastAsia="ru-RU"/>
        </w:rPr>
        <w:t>ВОДНЫХ  ПУТЕЙ</w:t>
      </w:r>
      <w:proofErr w:type="gramEnd"/>
      <w:r w:rsidRPr="003C4AB4">
        <w:rPr>
          <w:rFonts w:ascii="Antiqua" w:eastAsia="Times New Roman" w:hAnsi="Antiqua" w:cs="Times New Roman"/>
          <w:b/>
          <w:sz w:val="28"/>
          <w:szCs w:val="28"/>
          <w:lang w:val="ru-RU" w:eastAsia="ru-RU"/>
        </w:rPr>
        <w:t>»</w:t>
      </w:r>
    </w:p>
    <w:p w:rsidR="003C4AB4" w:rsidRPr="003C4AB4" w:rsidRDefault="003C4AB4" w:rsidP="003C4AB4">
      <w:pPr>
        <w:spacing w:before="0" w:beforeAutospacing="0" w:after="0" w:afterAutospacing="0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C4A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(ФБУ «АДМИНИСТРАЦИЯ «КАМВОДПУТЬ»)</w:t>
      </w:r>
    </w:p>
    <w:p w:rsidR="003C4AB4" w:rsidRPr="003C4AB4" w:rsidRDefault="003C4AB4" w:rsidP="003C4AB4">
      <w:pPr>
        <w:spacing w:before="0" w:beforeAutospacing="0" w:after="0" w:afterAutospacing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3C4AB4" w:rsidRPr="003C4AB4" w:rsidRDefault="003C4AB4" w:rsidP="003C4AB4">
      <w:pPr>
        <w:keepNext/>
        <w:spacing w:before="0" w:beforeAutospacing="0" w:after="0" w:afterAutospacing="0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C4A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Р И К А З</w:t>
      </w:r>
    </w:p>
    <w:p w:rsidR="003C4AB4" w:rsidRPr="003C4AB4" w:rsidRDefault="003C4AB4" w:rsidP="003C4AB4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0"/>
        <w:gridCol w:w="609"/>
        <w:gridCol w:w="2127"/>
        <w:gridCol w:w="708"/>
        <w:gridCol w:w="2396"/>
      </w:tblGrid>
      <w:tr w:rsidR="003C4AB4" w:rsidRPr="003C4AB4" w:rsidTr="002C2CD0">
        <w:tc>
          <w:tcPr>
            <w:tcW w:w="3360" w:type="dxa"/>
            <w:tcBorders>
              <w:bottom w:val="single" w:sz="4" w:space="0" w:color="auto"/>
            </w:tcBorders>
          </w:tcPr>
          <w:p w:rsidR="003C4AB4" w:rsidRPr="003C4AB4" w:rsidRDefault="00141FB0" w:rsidP="0060719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25.02.2019</w:t>
            </w:r>
          </w:p>
        </w:tc>
        <w:tc>
          <w:tcPr>
            <w:tcW w:w="609" w:type="dxa"/>
          </w:tcPr>
          <w:p w:rsidR="003C4AB4" w:rsidRPr="003C4AB4" w:rsidRDefault="003C4AB4" w:rsidP="003C4A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</w:tcPr>
          <w:p w:rsidR="003C4AB4" w:rsidRPr="003C4AB4" w:rsidRDefault="003C4AB4" w:rsidP="003C4A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</w:tcPr>
          <w:p w:rsidR="003C4AB4" w:rsidRPr="003C4AB4" w:rsidRDefault="003C4AB4" w:rsidP="003C4AB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C4AB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№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3C4AB4" w:rsidRPr="003C4AB4" w:rsidRDefault="00141FB0" w:rsidP="003C4A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37</w:t>
            </w:r>
          </w:p>
        </w:tc>
      </w:tr>
      <w:tr w:rsidR="003C4AB4" w:rsidRPr="003C4AB4" w:rsidTr="002C2CD0">
        <w:tc>
          <w:tcPr>
            <w:tcW w:w="3360" w:type="dxa"/>
            <w:tcBorders>
              <w:top w:val="single" w:sz="4" w:space="0" w:color="auto"/>
            </w:tcBorders>
          </w:tcPr>
          <w:p w:rsidR="003C4AB4" w:rsidRPr="003C4AB4" w:rsidRDefault="00607199" w:rsidP="003C4A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071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 внесении изменений в учетную политику для целей бухгалтерского учета</w:t>
            </w:r>
          </w:p>
        </w:tc>
        <w:tc>
          <w:tcPr>
            <w:tcW w:w="609" w:type="dxa"/>
          </w:tcPr>
          <w:p w:rsidR="003C4AB4" w:rsidRPr="003C4AB4" w:rsidRDefault="003C4AB4" w:rsidP="003C4A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</w:tcPr>
          <w:p w:rsidR="003C4AB4" w:rsidRPr="003C4AB4" w:rsidRDefault="003C4AB4" w:rsidP="003C4A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C4AB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г. Пермь</w:t>
            </w:r>
          </w:p>
        </w:tc>
        <w:tc>
          <w:tcPr>
            <w:tcW w:w="708" w:type="dxa"/>
          </w:tcPr>
          <w:p w:rsidR="003C4AB4" w:rsidRPr="003C4AB4" w:rsidRDefault="003C4AB4" w:rsidP="003C4A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3C4AB4" w:rsidRPr="003C4AB4" w:rsidRDefault="003C4AB4" w:rsidP="003C4A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</w:tr>
    </w:tbl>
    <w:p w:rsidR="003C4AB4" w:rsidRPr="003C4AB4" w:rsidRDefault="003C4AB4" w:rsidP="003C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3C4AB4">
        <w:rPr>
          <w:rFonts w:ascii="Arial" w:eastAsia="Times New Roman" w:hAnsi="Arial" w:cs="Arial"/>
          <w:sz w:val="20"/>
          <w:szCs w:val="20"/>
          <w:lang w:val="ru-RU" w:eastAsia="ru-RU"/>
        </w:rPr>
        <w:t> </w:t>
      </w:r>
    </w:p>
    <w:p w:rsidR="003C4AB4" w:rsidRPr="003C4AB4" w:rsidRDefault="003C4AB4" w:rsidP="003C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Times New Roman" w:cstheme="minorHAnsi"/>
          <w:sz w:val="24"/>
          <w:szCs w:val="24"/>
          <w:lang w:val="ru-RU" w:eastAsia="ru-RU"/>
        </w:rPr>
      </w:pPr>
      <w:r w:rsidRPr="003C4AB4">
        <w:rPr>
          <w:rFonts w:ascii="Arial" w:eastAsia="Times New Roman" w:hAnsi="Arial" w:cs="Arial"/>
          <w:sz w:val="20"/>
          <w:szCs w:val="20"/>
          <w:lang w:val="ru-RU" w:eastAsia="ru-RU"/>
        </w:rPr>
        <w:t> </w:t>
      </w:r>
      <w:r w:rsidR="00F16CA9" w:rsidRPr="00C07330">
        <w:rPr>
          <w:rFonts w:eastAsia="Times New Roman" w:cstheme="minorHAnsi"/>
          <w:sz w:val="24"/>
          <w:szCs w:val="24"/>
          <w:lang w:val="ru-RU" w:eastAsia="ru-RU"/>
        </w:rPr>
        <w:t xml:space="preserve">В связи с вступлением в силу с 1 января 2019 года федеральных стандартов госсектора по приказам Минфина </w:t>
      </w:r>
      <w:r w:rsidR="00192D56" w:rsidRPr="00192D56">
        <w:rPr>
          <w:rFonts w:eastAsia="Times New Roman" w:cstheme="minorHAnsi"/>
          <w:sz w:val="24"/>
          <w:szCs w:val="24"/>
          <w:lang w:val="ru-RU" w:eastAsia="ru-RU"/>
        </w:rPr>
        <w:t>№ 274н от 30.12.2017 — «Учетная политик</w:t>
      </w:r>
      <w:r w:rsidR="00192D56">
        <w:rPr>
          <w:rFonts w:eastAsia="Times New Roman" w:cstheme="minorHAnsi"/>
          <w:sz w:val="24"/>
          <w:szCs w:val="24"/>
          <w:lang w:val="ru-RU" w:eastAsia="ru-RU"/>
        </w:rPr>
        <w:t xml:space="preserve">а, оценочные значения и ошибки», </w:t>
      </w:r>
      <w:r w:rsidR="00192D56" w:rsidRPr="00192D56">
        <w:rPr>
          <w:rFonts w:eastAsia="Times New Roman" w:cstheme="minorHAnsi"/>
          <w:sz w:val="24"/>
          <w:szCs w:val="24"/>
          <w:lang w:val="ru-RU" w:eastAsia="ru-RU"/>
        </w:rPr>
        <w:t xml:space="preserve">№ 275н от 30.12.2017 </w:t>
      </w:r>
      <w:r w:rsidR="00192D56">
        <w:rPr>
          <w:rFonts w:eastAsia="Times New Roman" w:cstheme="minorHAnsi"/>
          <w:sz w:val="24"/>
          <w:szCs w:val="24"/>
          <w:lang w:val="ru-RU" w:eastAsia="ru-RU"/>
        </w:rPr>
        <w:t xml:space="preserve">— «События после отчетной даты», </w:t>
      </w:r>
      <w:r w:rsidR="00192D56" w:rsidRPr="00192D56">
        <w:rPr>
          <w:rFonts w:eastAsia="Times New Roman" w:cstheme="minorHAnsi"/>
          <w:sz w:val="24"/>
          <w:szCs w:val="24"/>
          <w:lang w:val="ru-RU" w:eastAsia="ru-RU"/>
        </w:rPr>
        <w:t>№ 278н от 30.12.2017 — «Отч</w:t>
      </w:r>
      <w:r w:rsidR="00192D56">
        <w:rPr>
          <w:rFonts w:eastAsia="Times New Roman" w:cstheme="minorHAnsi"/>
          <w:sz w:val="24"/>
          <w:szCs w:val="24"/>
          <w:lang w:val="ru-RU" w:eastAsia="ru-RU"/>
        </w:rPr>
        <w:t xml:space="preserve">ет о движении денежных средств», </w:t>
      </w:r>
      <w:r w:rsidR="00192D56" w:rsidRPr="00192D56">
        <w:rPr>
          <w:rFonts w:eastAsia="Times New Roman" w:cstheme="minorHAnsi"/>
          <w:sz w:val="24"/>
          <w:szCs w:val="24"/>
          <w:lang w:val="ru-RU" w:eastAsia="ru-RU"/>
        </w:rPr>
        <w:t>№ 3</w:t>
      </w:r>
      <w:r w:rsidR="00192D56">
        <w:rPr>
          <w:rFonts w:eastAsia="Times New Roman" w:cstheme="minorHAnsi"/>
          <w:sz w:val="24"/>
          <w:szCs w:val="24"/>
          <w:lang w:val="ru-RU" w:eastAsia="ru-RU"/>
        </w:rPr>
        <w:t xml:space="preserve">2н от 27.02.2018 — «Доходы», </w:t>
      </w:r>
      <w:r w:rsidR="00192D56" w:rsidRPr="00192D56">
        <w:rPr>
          <w:rFonts w:eastAsia="Times New Roman" w:cstheme="minorHAnsi"/>
          <w:sz w:val="24"/>
          <w:szCs w:val="24"/>
          <w:lang w:val="ru-RU" w:eastAsia="ru-RU"/>
        </w:rPr>
        <w:t>№ 122н от 30.05.2018 — «Влияние изме</w:t>
      </w:r>
      <w:r w:rsidR="00192D56">
        <w:rPr>
          <w:rFonts w:eastAsia="Times New Roman" w:cstheme="minorHAnsi"/>
          <w:sz w:val="24"/>
          <w:szCs w:val="24"/>
          <w:lang w:val="ru-RU" w:eastAsia="ru-RU"/>
        </w:rPr>
        <w:t>нений курсов иностранных валют»</w:t>
      </w:r>
    </w:p>
    <w:p w:rsidR="003C4AB4" w:rsidRPr="003C4AB4" w:rsidRDefault="003C4AB4" w:rsidP="003C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C4A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C4AB4" w:rsidRDefault="003C4AB4" w:rsidP="003C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C4AB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ПРИКАЗЫВАЮ:</w:t>
      </w:r>
    </w:p>
    <w:p w:rsidR="00B4499C" w:rsidRPr="00467012" w:rsidRDefault="00B3088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нести следующие изменения в учетную политику для 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учета, утвержденную приказом руководителя от 2</w:t>
      </w:r>
      <w:r w:rsidR="005E69E3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>.12.201</w:t>
      </w:r>
      <w:r w:rsidR="005E69E3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474A15">
        <w:rPr>
          <w:rFonts w:hAnsi="Times New Roman" w:cs="Times New Roman"/>
          <w:color w:val="000000"/>
          <w:sz w:val="24"/>
          <w:szCs w:val="24"/>
        </w:rPr>
        <w:t> 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E69E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>6:</w:t>
      </w:r>
    </w:p>
    <w:p w:rsidR="003E2DAE" w:rsidRPr="00900AB3" w:rsidRDefault="00900AB3" w:rsidP="00900AB3">
      <w:pPr>
        <w:ind w:left="360"/>
        <w:rPr>
          <w:rFonts w:hAnsi="Times New Roman" w:cs="Times New Roman"/>
          <w:color w:val="000000"/>
          <w:sz w:val="24"/>
          <w:szCs w:val="24"/>
          <w:lang w:val="ru-RU"/>
        </w:rPr>
      </w:pPr>
      <w:r w:rsidRPr="00900AB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4A15" w:rsidRPr="00900AB3">
        <w:rPr>
          <w:rFonts w:hAnsi="Times New Roman" w:cs="Times New Roman"/>
          <w:color w:val="000000"/>
          <w:sz w:val="24"/>
          <w:szCs w:val="24"/>
          <w:lang w:val="ru-RU"/>
        </w:rPr>
        <w:t>Раздел «</w:t>
      </w:r>
      <w:r w:rsidR="00F345CE" w:rsidRPr="00900AB3">
        <w:rPr>
          <w:rFonts w:hAnsi="Times New Roman" w:cs="Times New Roman"/>
          <w:color w:val="000000"/>
          <w:sz w:val="24"/>
          <w:szCs w:val="24"/>
          <w:lang w:val="ru-RU"/>
        </w:rPr>
        <w:t>Общие положения</w:t>
      </w:r>
      <w:r w:rsidR="00474A15" w:rsidRPr="00900AB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E2DAE" w:rsidRPr="00900AB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E2DAE" w:rsidRPr="003E2DAE" w:rsidRDefault="003E2DAE" w:rsidP="003E2DAE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499C" w:rsidRPr="003E2DAE" w:rsidRDefault="003E2DAE" w:rsidP="003E2DAE">
      <w:pPr>
        <w:pStyle w:val="a3"/>
        <w:numPr>
          <w:ilvl w:val="1"/>
          <w:numId w:val="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474A15" w:rsidRPr="003E2DAE">
        <w:rPr>
          <w:rFonts w:hAnsi="Times New Roman" w:cs="Times New Roman"/>
          <w:color w:val="000000"/>
          <w:sz w:val="24"/>
          <w:szCs w:val="24"/>
          <w:lang w:val="ru-RU"/>
        </w:rPr>
        <w:t xml:space="preserve">ополнить </w:t>
      </w:r>
      <w:r w:rsidR="00F345CE" w:rsidRPr="003E2DAE">
        <w:rPr>
          <w:rFonts w:hAnsi="Times New Roman" w:cs="Times New Roman"/>
          <w:color w:val="000000"/>
          <w:sz w:val="24"/>
          <w:szCs w:val="24"/>
          <w:lang w:val="ru-RU"/>
        </w:rPr>
        <w:t>пунктом 4</w:t>
      </w:r>
      <w:r w:rsidR="00474A15" w:rsidRPr="003E2DA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345CE" w:rsidRDefault="00F345CE" w:rsidP="00F345C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45CE">
        <w:rPr>
          <w:rFonts w:hAnsi="Times New Roman" w:cs="Times New Roman"/>
          <w:color w:val="000000"/>
          <w:sz w:val="24"/>
          <w:szCs w:val="24"/>
          <w:lang w:val="ru-RU"/>
        </w:rPr>
        <w:t>Учреждение публикует основные положения учетной политики на своем официальном сайте путем размещения копий документов учетной политики</w:t>
      </w:r>
      <w:r w:rsidR="004D0A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126A" w:rsidRDefault="0020126A" w:rsidP="00F345C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D0AA1" w:rsidRDefault="004D0AA1" w:rsidP="00F345CE">
      <w:pPr>
        <w:ind w:right="180"/>
        <w:contextualSpacing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Основание: п.9 СГС </w:t>
      </w:r>
      <w:r w:rsidRPr="00192D56">
        <w:rPr>
          <w:rFonts w:eastAsia="Times New Roman" w:cstheme="minorHAnsi"/>
          <w:sz w:val="24"/>
          <w:szCs w:val="24"/>
          <w:lang w:val="ru-RU" w:eastAsia="ru-RU"/>
        </w:rPr>
        <w:t>«Учетная политик</w:t>
      </w:r>
      <w:r>
        <w:rPr>
          <w:rFonts w:eastAsia="Times New Roman" w:cstheme="minorHAnsi"/>
          <w:sz w:val="24"/>
          <w:szCs w:val="24"/>
          <w:lang w:val="ru-RU" w:eastAsia="ru-RU"/>
        </w:rPr>
        <w:t>а, оценочные значения и ошибки»</w:t>
      </w:r>
      <w:r w:rsidR="0083686D">
        <w:rPr>
          <w:rFonts w:eastAsia="Times New Roman" w:cstheme="minorHAnsi"/>
          <w:sz w:val="24"/>
          <w:szCs w:val="24"/>
          <w:lang w:val="ru-RU" w:eastAsia="ru-RU"/>
        </w:rPr>
        <w:t>.</w:t>
      </w:r>
    </w:p>
    <w:p w:rsidR="003E2DAE" w:rsidRDefault="003E2DAE" w:rsidP="003E2DAE">
      <w:pPr>
        <w:pStyle w:val="a3"/>
        <w:numPr>
          <w:ilvl w:val="1"/>
          <w:numId w:val="3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E2DAE">
        <w:rPr>
          <w:rFonts w:hAnsi="Times New Roman" w:cs="Times New Roman"/>
          <w:color w:val="000000"/>
          <w:sz w:val="24"/>
          <w:szCs w:val="24"/>
          <w:lang w:val="ru-RU"/>
        </w:rPr>
        <w:t>Дополнить пунктом 5:</w:t>
      </w:r>
    </w:p>
    <w:p w:rsidR="0020126A" w:rsidRDefault="001F0DBC" w:rsidP="00E44A8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F0DBC">
        <w:rPr>
          <w:rFonts w:hAnsi="Times New Roman" w:cs="Times New Roman"/>
          <w:color w:val="000000"/>
          <w:sz w:val="24"/>
          <w:szCs w:val="24"/>
          <w:lang w:val="ru-RU"/>
        </w:rPr>
        <w:t>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средств,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</w:t>
      </w:r>
      <w:r w:rsidR="003337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4A8A" w:rsidRDefault="003337D8" w:rsidP="00E44A8A">
      <w:pPr>
        <w:ind w:right="180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Основание: </w:t>
      </w:r>
      <w:r w:rsidR="000C0F76">
        <w:rPr>
          <w:rFonts w:hAnsi="Times New Roman" w:cs="Times New Roman"/>
          <w:color w:val="000000"/>
          <w:sz w:val="24"/>
          <w:szCs w:val="24"/>
          <w:lang w:val="ru-RU"/>
        </w:rPr>
        <w:t xml:space="preserve">п.15-17 СГС </w:t>
      </w:r>
      <w:r w:rsidR="00E44A8A" w:rsidRPr="00192D56">
        <w:rPr>
          <w:rFonts w:eastAsia="Times New Roman" w:cstheme="minorHAnsi"/>
          <w:sz w:val="24"/>
          <w:szCs w:val="24"/>
          <w:lang w:val="ru-RU" w:eastAsia="ru-RU"/>
        </w:rPr>
        <w:t>«Учетная политик</w:t>
      </w:r>
      <w:r w:rsidR="00E44A8A">
        <w:rPr>
          <w:rFonts w:eastAsia="Times New Roman" w:cstheme="minorHAnsi"/>
          <w:sz w:val="24"/>
          <w:szCs w:val="24"/>
          <w:lang w:val="ru-RU" w:eastAsia="ru-RU"/>
        </w:rPr>
        <w:t>а, оценочные значения и ошибки».</w:t>
      </w:r>
    </w:p>
    <w:p w:rsidR="003337D8" w:rsidRPr="001F0DBC" w:rsidRDefault="003337D8" w:rsidP="001F0DBC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5CE" w:rsidRPr="00141FB0" w:rsidRDefault="00F345CE" w:rsidP="00F345CE">
      <w:pPr>
        <w:ind w:left="7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499C" w:rsidRPr="00467012" w:rsidRDefault="00900AB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2.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разделе</w:t>
      </w:r>
      <w:r w:rsidR="00474A15">
        <w:rPr>
          <w:rFonts w:hAnsi="Times New Roman" w:cs="Times New Roman"/>
          <w:color w:val="000000"/>
          <w:sz w:val="24"/>
          <w:szCs w:val="24"/>
        </w:rPr>
        <w:t> 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>«Финансовый результат</w:t>
      </w:r>
      <w:r w:rsidR="00AA78B0" w:rsidRPr="0046701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A78B0" w:rsidRPr="00141FB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4499C" w:rsidRPr="00467012" w:rsidRDefault="004F19E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>2.1. Подпункт</w:t>
      </w:r>
      <w:r w:rsidR="00474A15">
        <w:rPr>
          <w:rFonts w:hAnsi="Times New Roman" w:cs="Times New Roman"/>
          <w:color w:val="000000"/>
          <w:sz w:val="24"/>
          <w:szCs w:val="24"/>
        </w:rPr>
        <w:t> </w:t>
      </w:r>
      <w:r w:rsidR="00AA78B0" w:rsidRPr="00467012">
        <w:rPr>
          <w:rFonts w:hAnsi="Times New Roman" w:cs="Times New Roman"/>
          <w:color w:val="000000"/>
          <w:sz w:val="24"/>
          <w:szCs w:val="24"/>
          <w:lang w:val="ru-RU"/>
        </w:rPr>
        <w:t>10.</w:t>
      </w:r>
      <w:r w:rsidR="00AA78B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A78B0">
        <w:rPr>
          <w:rFonts w:hAnsi="Times New Roman" w:cs="Times New Roman"/>
          <w:color w:val="000000"/>
          <w:sz w:val="24"/>
          <w:szCs w:val="24"/>
        </w:rPr>
        <w:t> </w:t>
      </w:r>
      <w:r w:rsidR="00AA78B0" w:rsidRPr="00467012">
        <w:rPr>
          <w:rFonts w:hAnsi="Times New Roman" w:cs="Times New Roman"/>
          <w:color w:val="000000"/>
          <w:sz w:val="24"/>
          <w:szCs w:val="24"/>
          <w:lang w:val="ru-RU"/>
        </w:rPr>
        <w:t>изложить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в следующей редакции:</w:t>
      </w:r>
    </w:p>
    <w:p w:rsidR="001663CD" w:rsidRDefault="00474A15" w:rsidP="009A0C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«10.</w:t>
      </w:r>
      <w:r w:rsidR="00AA78B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AA78B0" w:rsidRPr="00AA78B0">
        <w:rPr>
          <w:rFonts w:hAnsi="Times New Roman" w:cs="Times New Roman"/>
          <w:color w:val="000000"/>
          <w:sz w:val="24"/>
          <w:szCs w:val="24"/>
          <w:lang w:val="ru-RU"/>
        </w:rPr>
        <w:t>В бухучете расчеты по НДС и налогу на прибыль отражаются по подстатье КОСГУ 1</w:t>
      </w:r>
      <w:r w:rsidR="00EE5AA4">
        <w:rPr>
          <w:rFonts w:hAnsi="Times New Roman" w:cs="Times New Roman"/>
          <w:color w:val="000000"/>
          <w:sz w:val="24"/>
          <w:szCs w:val="24"/>
          <w:lang w:val="ru-RU"/>
        </w:rPr>
        <w:t>89</w:t>
      </w:r>
      <w:r w:rsidR="00AA78B0" w:rsidRPr="00AA78B0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EE5AA4">
        <w:rPr>
          <w:rFonts w:hAnsi="Times New Roman" w:cs="Times New Roman"/>
          <w:color w:val="000000"/>
          <w:sz w:val="24"/>
          <w:szCs w:val="24"/>
          <w:lang w:val="ru-RU"/>
        </w:rPr>
        <w:t>Иные доходы</w:t>
      </w:r>
      <w:r w:rsidR="00AA78B0" w:rsidRPr="00AA78B0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9A0C78" w:rsidRPr="009A0C78" w:rsidRDefault="00AA78B0" w:rsidP="009A0C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8B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Основание: </w:t>
      </w:r>
      <w:r w:rsidR="009A0C78" w:rsidRPr="009A0C78">
        <w:rPr>
          <w:rFonts w:hAnsi="Times New Roman" w:cs="Times New Roman"/>
          <w:color w:val="000000"/>
          <w:sz w:val="24"/>
          <w:szCs w:val="24"/>
          <w:lang w:val="ru-RU"/>
        </w:rPr>
        <w:t>п. 9 Порядка применения КОСГУ № 209н, подп. 6 п. 2 Изменений, утвержденных приказом Минфина от 30.11.2018 № 246н</w:t>
      </w:r>
      <w:r w:rsidR="001663C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0BF8" w:rsidRDefault="007A44AB" w:rsidP="007B0BF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2.2. Подпункт 10.4. дополнить</w:t>
      </w:r>
      <w:r w:rsidR="007B0BF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4499C" w:rsidRDefault="007B0BF8" w:rsidP="009A0C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0BF8">
        <w:rPr>
          <w:rFonts w:hAnsi="Times New Roman" w:cs="Times New Roman"/>
          <w:color w:val="000000"/>
          <w:sz w:val="24"/>
          <w:szCs w:val="24"/>
          <w:lang w:val="ru-RU"/>
        </w:rPr>
        <w:t xml:space="preserve">Резерв по сомнительным долгам создается в конце каждого отчетного периода, не позднее последнего дня отчетного периода. Основание для создания резерва – решение комиссии учреждения по поступлению и выбытию активов, оформленное по результатам инвентаризации задолженности на основании документов, подтверждающих сомнительность долга. Величина резерва равна величине выявленной сомнительной </w:t>
      </w:r>
      <w:r w:rsidR="0074187F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="00AA3FA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C2389">
        <w:rPr>
          <w:rFonts w:hAnsi="Times New Roman" w:cs="Times New Roman"/>
          <w:color w:val="000000"/>
          <w:sz w:val="24"/>
          <w:szCs w:val="24"/>
          <w:lang w:val="ru-RU"/>
        </w:rPr>
        <w:t xml:space="preserve"> Резерв по сомнительным долгам учитывается на забалансовом счете 04</w:t>
      </w:r>
      <w:r w:rsidR="00E04A29">
        <w:rPr>
          <w:rFonts w:hAnsi="Times New Roman" w:cs="Times New Roman"/>
          <w:color w:val="000000"/>
          <w:sz w:val="24"/>
          <w:szCs w:val="24"/>
          <w:lang w:val="ru-RU"/>
        </w:rPr>
        <w:t xml:space="preserve"> «Сомнительная задолженность».</w:t>
      </w:r>
    </w:p>
    <w:p w:rsidR="00E04A29" w:rsidRDefault="00E04A29" w:rsidP="009A0C7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Основание: </w:t>
      </w:r>
      <w:r w:rsidR="00C22B8F">
        <w:rPr>
          <w:rFonts w:hAnsi="Times New Roman" w:cs="Times New Roman"/>
          <w:color w:val="000000"/>
          <w:sz w:val="24"/>
          <w:szCs w:val="24"/>
          <w:lang w:val="ru-RU"/>
        </w:rPr>
        <w:t xml:space="preserve">п.11 СГС </w:t>
      </w:r>
      <w:r w:rsidR="00C22B8F">
        <w:rPr>
          <w:rFonts w:eastAsia="Times New Roman" w:cstheme="minorHAnsi"/>
          <w:sz w:val="24"/>
          <w:szCs w:val="24"/>
          <w:lang w:val="ru-RU" w:eastAsia="ru-RU"/>
        </w:rPr>
        <w:t>«Доходы»</w:t>
      </w:r>
    </w:p>
    <w:p w:rsidR="006805B5" w:rsidRDefault="006805B5" w:rsidP="009A0C7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 квалификации задолженности в качестве сомнительной учитываются следующие обстоятельства:</w:t>
      </w:r>
    </w:p>
    <w:p w:rsidR="006805B5" w:rsidRDefault="006805B5" w:rsidP="009A0C7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нарушение должником сроков исполнения обязательства;</w:t>
      </w:r>
    </w:p>
    <w:p w:rsidR="006805B5" w:rsidRDefault="006805B5" w:rsidP="009A0C7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невозможность удержания имущества должника;</w:t>
      </w:r>
    </w:p>
    <w:p w:rsidR="006805B5" w:rsidRDefault="006805B5" w:rsidP="009A0C7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отсутствие обеспечения долга залогом, задатком, поручительством, банковской гарантией и т.п.;</w:t>
      </w:r>
    </w:p>
    <w:p w:rsidR="006805B5" w:rsidRDefault="006805B5" w:rsidP="009A0C7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значительные финансовые затруднения должника, ставшие известными из СМИ или других источников;</w:t>
      </w:r>
    </w:p>
    <w:p w:rsidR="006805B5" w:rsidRDefault="006805B5" w:rsidP="009A0C7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возбуждение процедуры банкротства в отношении должника.</w:t>
      </w:r>
    </w:p>
    <w:p w:rsidR="006805B5" w:rsidRDefault="006805B5" w:rsidP="009A0C7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Обязательства должников, просрочка исполнения которых не превышает 45 дней, сомнительными не признаются.</w:t>
      </w:r>
    </w:p>
    <w:p w:rsidR="006805B5" w:rsidRDefault="006805B5" w:rsidP="009A0C7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Задолженности заказчиков, выявленные по договорам оказания услуг (выполнения работ), по которым срок действия еще не истек, сомнительными не признаются.</w:t>
      </w:r>
    </w:p>
    <w:p w:rsidR="006805B5" w:rsidRDefault="006805B5" w:rsidP="009A0C7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 целью квалификации задолженности в качестве сомнительной каждый долг оценивается индивидуально на предмет наличия обстоятельств, приведенных выше.</w:t>
      </w:r>
    </w:p>
    <w:p w:rsidR="00B462F9" w:rsidRDefault="00B462F9" w:rsidP="009A0C7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2.3. </w:t>
      </w:r>
      <w:r w:rsidR="00960B84">
        <w:rPr>
          <w:rFonts w:hAnsi="Times New Roman" w:cs="Times New Roman"/>
          <w:color w:val="000000"/>
          <w:sz w:val="24"/>
          <w:szCs w:val="24"/>
          <w:lang w:val="ru-RU"/>
        </w:rPr>
        <w:t>Пункт 11 дополнить:</w:t>
      </w:r>
    </w:p>
    <w:p w:rsidR="00960B84" w:rsidRPr="00960B84" w:rsidRDefault="00960B84" w:rsidP="009A0C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B84">
        <w:rPr>
          <w:rFonts w:hAnsi="Times New Roman" w:cs="Times New Roman"/>
          <w:color w:val="000000"/>
          <w:sz w:val="24"/>
          <w:szCs w:val="24"/>
          <w:lang w:val="ru-RU"/>
        </w:rPr>
        <w:t>Квалифицирует событие как СПОД главный бухгалтер на основе своего профессионального суждения</w:t>
      </w:r>
    </w:p>
    <w:p w:rsidR="002D6AD1" w:rsidRDefault="002D6AD1" w:rsidP="002D6AD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Основание: </w:t>
      </w:r>
      <w:r w:rsidRPr="002D6AD1">
        <w:rPr>
          <w:rFonts w:hAnsi="Times New Roman" w:cs="Times New Roman"/>
          <w:color w:val="000000"/>
          <w:sz w:val="24"/>
          <w:szCs w:val="24"/>
          <w:lang w:val="ru-RU"/>
        </w:rPr>
        <w:t>п. 6 Инструкции к Единому плану счетов № 157н, подп. «ж» п. 9 СГС «Учетная политика, оценочные значения и ошибки»</w:t>
      </w:r>
    </w:p>
    <w:p w:rsidR="00900AB3" w:rsidRPr="00900AB3" w:rsidRDefault="00FC7ED7" w:rsidP="00900AB3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Ввести в действие данные изменения с 01 января 2019 года.</w:t>
      </w:r>
    </w:p>
    <w:p w:rsidR="002D6AD1" w:rsidRPr="002D6AD1" w:rsidRDefault="002D6AD1" w:rsidP="002D6A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499C" w:rsidRPr="00467012" w:rsidRDefault="00B449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3"/>
        <w:gridCol w:w="309"/>
        <w:gridCol w:w="1225"/>
        <w:gridCol w:w="309"/>
        <w:gridCol w:w="2894"/>
      </w:tblGrid>
      <w:tr w:rsidR="00B4499C" w:rsidRPr="006C3AF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Pr="006C3AF7" w:rsidRDefault="006C3AF7" w:rsidP="006C3A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 о. р</w:t>
            </w:r>
            <w:r w:rsidR="00474A15" w:rsidRPr="006C3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="00474A15" w:rsidRPr="006C3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Pr="006C3AF7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Pr="006C3AF7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Pr="006C3AF7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Pr="005F3872" w:rsidRDefault="006C3A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 А. Михеев</w:t>
            </w:r>
          </w:p>
        </w:tc>
      </w:tr>
      <w:tr w:rsidR="00B4499C" w:rsidRPr="006C3AF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Pr="005F3872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Pr="005F3872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Pr="005F3872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Pr="005F3872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Pr="005F3872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4499C" w:rsidRPr="006C3AF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Pr="005F3872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Pr="005F3872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Pr="005F3872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Pr="005F3872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Pr="005F3872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4499C" w:rsidRPr="006C3AF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Pr="005F3872" w:rsidRDefault="00474A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приказом ознакомлен(а):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Pr="005F3872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Pr="005F3872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Pr="005F3872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Pr="005F3872" w:rsidRDefault="00B22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 А. Зуева</w:t>
            </w:r>
          </w:p>
        </w:tc>
      </w:tr>
      <w:tr w:rsidR="00B4499C" w:rsidRPr="006C3AF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Pr="005F3872" w:rsidRDefault="00B4499C" w:rsidP="00C12A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Pr="005F3872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Pr="005F3872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Pr="005F3872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Pr="005F3872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4499C" w:rsidRPr="006C3AF7">
        <w:tc>
          <w:tcPr>
            <w:tcW w:w="61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Pr="005F3872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Pr="005F3872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Pr="005F3872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Pr="005F3872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Pr="005F3872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74A15" w:rsidRPr="005F3872" w:rsidRDefault="00474A15">
      <w:pPr>
        <w:rPr>
          <w:lang w:val="ru-RU"/>
        </w:rPr>
      </w:pPr>
    </w:p>
    <w:sectPr w:rsidR="00474A15" w:rsidRPr="005F3872" w:rsidSect="00B4499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472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F1041"/>
    <w:multiLevelType w:val="multilevel"/>
    <w:tmpl w:val="C556E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78C05DB"/>
    <w:multiLevelType w:val="hybridMultilevel"/>
    <w:tmpl w:val="20C21E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B54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ignoreMixedContent/>
  <w:compat>
    <w:compatSetting w:name="compatibilityMode" w:uri="http://schemas.microsoft.com/office/word" w:val="12"/>
  </w:compat>
  <w:rsids>
    <w:rsidRoot w:val="005A05CE"/>
    <w:rsid w:val="0001019D"/>
    <w:rsid w:val="000C0F76"/>
    <w:rsid w:val="00141FB0"/>
    <w:rsid w:val="001663CD"/>
    <w:rsid w:val="00192D56"/>
    <w:rsid w:val="001F0DBC"/>
    <w:rsid w:val="0020126A"/>
    <w:rsid w:val="00231C6B"/>
    <w:rsid w:val="002D33B1"/>
    <w:rsid w:val="002D3591"/>
    <w:rsid w:val="002D6AD1"/>
    <w:rsid w:val="003337D8"/>
    <w:rsid w:val="003514A0"/>
    <w:rsid w:val="003C4AB4"/>
    <w:rsid w:val="003E2DAE"/>
    <w:rsid w:val="00467012"/>
    <w:rsid w:val="00474A15"/>
    <w:rsid w:val="004D0AA1"/>
    <w:rsid w:val="004D581F"/>
    <w:rsid w:val="004F19EF"/>
    <w:rsid w:val="004F7E17"/>
    <w:rsid w:val="00520113"/>
    <w:rsid w:val="005A05CE"/>
    <w:rsid w:val="005E69E3"/>
    <w:rsid w:val="005F3872"/>
    <w:rsid w:val="00607199"/>
    <w:rsid w:val="00653AF6"/>
    <w:rsid w:val="006805B5"/>
    <w:rsid w:val="006C3AF7"/>
    <w:rsid w:val="00734686"/>
    <w:rsid w:val="0074187F"/>
    <w:rsid w:val="007A44AB"/>
    <w:rsid w:val="007B0BF8"/>
    <w:rsid w:val="0083686D"/>
    <w:rsid w:val="00900AB3"/>
    <w:rsid w:val="00960B84"/>
    <w:rsid w:val="009A0C78"/>
    <w:rsid w:val="00AA3FA1"/>
    <w:rsid w:val="00AA78B0"/>
    <w:rsid w:val="00AF4C92"/>
    <w:rsid w:val="00B22713"/>
    <w:rsid w:val="00B22FC5"/>
    <w:rsid w:val="00B3088A"/>
    <w:rsid w:val="00B4499C"/>
    <w:rsid w:val="00B462F9"/>
    <w:rsid w:val="00B73A5A"/>
    <w:rsid w:val="00B778B7"/>
    <w:rsid w:val="00C07330"/>
    <w:rsid w:val="00C12AE8"/>
    <w:rsid w:val="00C22B8F"/>
    <w:rsid w:val="00CC2389"/>
    <w:rsid w:val="00D117CE"/>
    <w:rsid w:val="00D74302"/>
    <w:rsid w:val="00DF1977"/>
    <w:rsid w:val="00E04A29"/>
    <w:rsid w:val="00E06B19"/>
    <w:rsid w:val="00E438A1"/>
    <w:rsid w:val="00E44A8A"/>
    <w:rsid w:val="00EE5AA4"/>
    <w:rsid w:val="00F01E19"/>
    <w:rsid w:val="00F16CA9"/>
    <w:rsid w:val="00F345CE"/>
    <w:rsid w:val="00FC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9EA75-65F0-4285-A513-15118F5E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8A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E2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AE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Зуева Елена Александровна</cp:lastModifiedBy>
  <cp:revision>58</cp:revision>
  <cp:lastPrinted>2020-02-18T12:09:00Z</cp:lastPrinted>
  <dcterms:created xsi:type="dcterms:W3CDTF">2011-11-02T04:15:00Z</dcterms:created>
  <dcterms:modified xsi:type="dcterms:W3CDTF">2020-02-18T12:18:00Z</dcterms:modified>
</cp:coreProperties>
</file>